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909955</wp:posOffset>
            </wp:positionH>
            <wp:positionV relativeFrom="paragraph">
              <wp:posOffset>93980</wp:posOffset>
            </wp:positionV>
            <wp:extent cx="480060" cy="52578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bottom w:color="0e3560" w:space="1" w:sz="4" w:val="dashed"/>
        </w:pBd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PdA GAL BARIGADU GUILCER  –  Azione chiave 2.1</w:t>
      </w:r>
    </w:p>
    <w:p w:rsidR="00000000" w:rsidDel="00000000" w:rsidP="00000000" w:rsidRDefault="00000000" w:rsidRPr="00000000" w14:paraId="00000003">
      <w:pPr>
        <w:ind w:left="240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Passo passo in filiera. Nucleo territoriale agroalimentare e artigianale del GAL Barigadu Guilcer.</w:t>
      </w:r>
    </w:p>
    <w:p w:rsidR="00000000" w:rsidDel="00000000" w:rsidP="00000000" w:rsidRDefault="00000000" w:rsidRPr="00000000" w14:paraId="00000004">
      <w:pPr>
        <w:ind w:left="2400" w:firstLine="0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4"/>
        <w:tblGridChange w:id="0">
          <w:tblGrid>
            <w:gridCol w:w="9464"/>
          </w:tblGrid>
        </w:tblGridChange>
      </w:tblGrid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pBdr>
                <w:top w:color="2c7c9f" w:space="31" w:sz="18" w:val="single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  <w:rtl w:val="0"/>
              </w:rPr>
              <w:t xml:space="preserve">BANDO PUBBLICO GAL  - REG UE 1305/2013, Art. 19 </w:t>
            </w:r>
          </w:p>
        </w:tc>
      </w:tr>
    </w:tbl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Sottomisura: 19.2- Sostegno all'esecuzione degli interventi nell’ambito della strategia di sviluppo locale di tipo partecipativo.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Calibri" w:cs="Calibri" w:eastAsia="Calibri" w:hAnsi="Calibri"/>
          <w:b w:val="1"/>
          <w:color w:val="0d0d0d"/>
          <w:sz w:val="24"/>
          <w:szCs w:val="24"/>
          <w:highlight w:val="yellow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INTERVENTO 19.2.4.2.2.1.4 Dalla produzione alla commercializzazione. Interventi a sostegno delle imprese di trasformazione e commercializzazione dei prodotti identitari del Barigadu Guilcer  A) produzioni agroalimentari.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Codice Univoco Bando da attribuire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Allegato H – Demarcazione con programmi OCM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40"/>
          <w:szCs w:val="40"/>
          <w:rtl w:val="0"/>
        </w:rPr>
        <w:t xml:space="preserve">DEMARCAZIONE CON PROGRAMMI OCM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0"/>
        <w:gridCol w:w="3240"/>
        <w:gridCol w:w="3255"/>
        <w:gridCol w:w="1365"/>
        <w:tblGridChange w:id="0">
          <w:tblGrid>
            <w:gridCol w:w="1350"/>
            <w:gridCol w:w="3240"/>
            <w:gridCol w:w="3255"/>
            <w:gridCol w:w="1365"/>
          </w:tblGrid>
        </w:tblGridChange>
      </w:tblGrid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line="210" w:lineRule="auto"/>
              <w:ind w:left="11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COMPARTO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10" w:lineRule="auto"/>
              <w:ind w:lef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INVESTIMENTI INTERVENTO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  <w:rtl w:val="0"/>
              </w:rPr>
              <w:t xml:space="preserve">19.2.4.2.2.1.4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1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INVESTIMENTI OCM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10" w:lineRule="auto"/>
              <w:ind w:left="1291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before="6" w:lineRule="auto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before="1" w:lineRule="auto"/>
              <w:ind w:left="11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Ortofrutta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ind w:left="105" w:right="18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 le OP/AOP: investimenti di dimensione finanziaria superiore a € 200.000.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ind w:left="110" w:right="5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 le OP/AOP: investimenti di dimensione finanziaria inferiori a € 200.000.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3"/>
              </w:numPr>
              <w:spacing w:before="6" w:lineRule="auto"/>
              <w:ind w:left="720" w:hanging="360"/>
              <w:rPr>
                <w:rFonts w:ascii="Calibri" w:cs="Calibri" w:eastAsia="Calibri" w:hAnsi="Calibri"/>
                <w:b w:val="1"/>
                <w:sz w:val="29"/>
                <w:szCs w:val="29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before="8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before="1" w:lineRule="auto"/>
              <w:ind w:left="11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Olio di oliva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tabs>
                <w:tab w:val="left" w:pos="1295"/>
                <w:tab w:val="left" w:pos="1934"/>
                <w:tab w:val="left" w:pos="3739"/>
              </w:tabs>
              <w:spacing w:before="158" w:lineRule="auto"/>
              <w:ind w:left="105" w:right="9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Impianti di trasformazione e/o commercializzazione di importo superiore a € 200.000,00 sostenuti direttamente da OP, o da soggetti non associati alle OP.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37" w:lineRule="auto"/>
              <w:ind w:left="110" w:right="4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Impianti di trasformazione e/o commercializzazione di importo inferiore a € 200.000,00 sostenuti direttamente da OP.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before="10" w:lineRule="auto"/>
              <w:ind w:left="720" w:hanging="360"/>
              <w:rPr>
                <w:rFonts w:ascii="Calibri" w:cs="Calibri" w:eastAsia="Calibri" w:hAnsi="Calibri"/>
                <w:b w:val="1"/>
                <w:sz w:val="23"/>
                <w:szCs w:val="23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before="4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ind w:left="11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Apicoltura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before="42" w:lineRule="auto"/>
              <w:ind w:left="105" w:right="17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Investimenti per la realizzazione/ristrutturazione dei locali di conservazione e commercializzazione dei prodotti da apicoltura, compresi macchinari e attrezzature.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ind w:left="11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Laboratori di analisi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before="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before="1" w:lineRule="auto"/>
              <w:ind w:left="11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Vitivinicolo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before="1" w:lineRule="auto"/>
              <w:ind w:left="105" w:right="91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Investimenti materiali o immateriali nella realizzazione, ristrutturazione e/o ampliamento delle strutture vinicole nonché in strutture di commercializzazione realizzate nel territorio regionale con un importo di progetto superiore a 400.000 euro.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1" w:lineRule="auto"/>
              <w:ind w:left="105" w:right="91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Investimento per l’innovazione nel settore vitivinicolo: investimenti materiali o immateriali destinati allo sviluppo di nuovi prodotti, trattamenti e tecnologie riguardanti i prodotti di cui all’allegato VII, parte II del Reg. (UE) n. 1308/2013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before="105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Investimenti materiali o immateriali in infrastrutture vinicole nonché in strutture e strumenti di commercializzazione da realizzarsi fuori dal territorio regionale, di cui alla misura investimenti del PNSV.</w:t>
            </w:r>
          </w:p>
          <w:p w:rsidR="00000000" w:rsidDel="00000000" w:rsidP="00000000" w:rsidRDefault="00000000" w:rsidRPr="00000000" w14:paraId="0000002E">
            <w:pPr>
              <w:widowControl w:val="0"/>
              <w:ind w:left="0" w:right="337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Investimenti materiali e immateriali, da realizzarsi nel territorio regionale e con un importo di progetto fino a 400.000 euro, di cui alla misura investimenti del PNSV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before="105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 xml:space="preserve">lì, </w:t>
        <w:tab/>
        <w:t xml:space="preserve">/ </w:t>
        <w:tab/>
        <w:t xml:space="preserve">/  </w:t>
        <w:tab/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right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                                             (firma)</w:t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2127" w:top="1276" w:left="1418" w:right="1268" w:header="708" w:footer="18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190500</wp:posOffset>
              </wp:positionV>
              <wp:extent cx="6298565" cy="59118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96718" y="3484408"/>
                        <a:ext cx="6298565" cy="591185"/>
                        <a:chOff x="2196718" y="3484408"/>
                        <a:chExt cx="6298565" cy="591185"/>
                      </a:xfrm>
                    </wpg:grpSpPr>
                    <wpg:grpSp>
                      <wpg:cNvGrpSpPr/>
                      <wpg:grpSpPr>
                        <a:xfrm>
                          <a:off x="2196718" y="3484408"/>
                          <a:ext cx="6298565" cy="591185"/>
                          <a:chOff x="2196718" y="3484408"/>
                          <a:chExt cx="6298565" cy="591185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2196718" y="3484408"/>
                            <a:ext cx="6298550" cy="59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196718" y="3484408"/>
                            <a:ext cx="6298565" cy="591185"/>
                            <a:chOff x="-14722" y="-73047"/>
                            <a:chExt cx="5860870" cy="44573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-14722" y="-73047"/>
                              <a:ext cx="5860850" cy="445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-14722" y="-44614"/>
                              <a:ext cx="1577250" cy="39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511054" y="-71240"/>
                              <a:ext cx="552847" cy="437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722722" y="-57297"/>
                              <a:ext cx="566106" cy="4069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232748" y="-72812"/>
                              <a:ext cx="1156034" cy="427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564975" y="-73047"/>
                              <a:ext cx="1281173" cy="445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190500</wp:posOffset>
              </wp:positionV>
              <wp:extent cx="6298565" cy="59118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8565" cy="5911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Allegato </w:t>
    </w:r>
    <w:r w:rsidDel="00000000" w:rsidR="00000000" w:rsidRPr="00000000">
      <w:rPr>
        <w:rFonts w:ascii="Calibri" w:cs="Calibri" w:eastAsia="Calibri" w:hAnsi="Calibri"/>
        <w:rtl w:val="0"/>
      </w:rPr>
      <w:t xml:space="preserve">H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)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207513" y="2733838"/>
                        <a:ext cx="6276975" cy="2092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bfbfbf"/>
                              <w:sz w:val="144"/>
                              <w:vertAlign w:val="baseline"/>
                            </w:rPr>
                            <w:t xml:space="preserve">BOZZA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1459" cy="59314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E 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7.jpg"/><Relationship Id="rId3" Type="http://schemas.openxmlformats.org/officeDocument/2006/relationships/image" Target="media/image6.jpg"/><Relationship Id="rId4" Type="http://schemas.openxmlformats.org/officeDocument/2006/relationships/image" Target="media/image5.png"/><Relationship Id="rId5" Type="http://schemas.openxmlformats.org/officeDocument/2006/relationships/image" Target="media/image8.png"/><Relationship Id="rId6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